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 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2014-20[21]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entre instituciones </w:t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  <w:r w:rsidR="00970A46">
        <w:rPr>
          <w:rStyle w:val="Refdenotaalpie"/>
          <w:rFonts w:ascii="Verdana" w:eastAsia="Verdana" w:hAnsi="Verdana" w:cs="Verdana"/>
          <w:b/>
          <w:bCs/>
          <w:sz w:val="32"/>
          <w:szCs w:val="32"/>
          <w:lang w:val="es-ES"/>
        </w:rPr>
        <w:footnoteReference w:id="4"/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5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77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559"/>
        <w:gridCol w:w="1843"/>
        <w:gridCol w:w="1843"/>
      </w:tblGrid>
      <w:tr w:rsidR="00970A46" w:rsidRPr="00725600" w:rsidTr="00E453BB">
        <w:trPr>
          <w:trHeight w:val="767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D56FAC">
            <w:pPr>
              <w:spacing w:after="12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Erasmus o ciudad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7"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spacing w:after="120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lastRenderedPageBreak/>
              <w:t>[...]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</w:tr>
    </w:tbl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8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E453BB">
        <w:trPr>
          <w:trHeight w:val="2902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E453BB" w:rsidRDefault="00DA0A74" w:rsidP="00E976AD">
            <w:pPr>
              <w:jc w:val="center"/>
              <w:rPr>
                <w:lang w:val="es-ES"/>
              </w:rPr>
            </w:pP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[No procede</w:t>
            </w:r>
            <w:r w:rsidR="00E976AD"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en</w:t>
            </w: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2015</w:t>
            </w:r>
            <w:r w:rsidR="00390616" w:rsidRPr="00E453BB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ni en 2016</w:t>
            </w:r>
            <w:r w:rsidRPr="00E453BB">
              <w:rPr>
                <w:rFonts w:ascii="Verdana" w:eastAsia="Verdana" w:hAnsi="Verdana" w:cs="Verdana"/>
                <w:i/>
                <w:iCs/>
                <w:color w:val="FF0000"/>
                <w:sz w:val="16"/>
                <w:szCs w:val="16"/>
                <w:u w:color="FF0000"/>
                <w:lang w:val="es-ES"/>
              </w:rPr>
              <w:t>]</w:t>
            </w: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</w:tbl>
    <w:p w:rsidR="00086698" w:rsidRPr="00E453BB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426"/>
        <w:gridCol w:w="708"/>
        <w:gridCol w:w="421"/>
        <w:gridCol w:w="1422"/>
        <w:gridCol w:w="1701"/>
        <w:gridCol w:w="1701"/>
      </w:tblGrid>
      <w:tr w:rsidR="00725600" w:rsidRPr="00725600" w:rsidTr="00E453BB">
        <w:trPr>
          <w:trHeight w:val="305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725600" w:rsidRPr="00725600" w:rsidRDefault="00725600" w:rsidP="00390616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HACIA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>[Código Erasmus o ciudad de la institución de acogida]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Código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Denominación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 xml:space="preserve">Número de movilidades de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personal</w:t>
            </w:r>
          </w:p>
        </w:tc>
      </w:tr>
      <w:tr w:rsidR="00086698" w:rsidTr="00E453BB">
        <w:trPr>
          <w:trHeight w:val="1488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85"/>
        <w:gridCol w:w="1450"/>
        <w:gridCol w:w="1701"/>
        <w:gridCol w:w="1417"/>
        <w:gridCol w:w="1296"/>
      </w:tblGrid>
      <w:tr w:rsidR="00086698" w:rsidRPr="00725600" w:rsidTr="00E453BB">
        <w:trPr>
          <w:trHeight w:val="160"/>
        </w:trPr>
        <w:tc>
          <w:tcPr>
            <w:tcW w:w="13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 w:rsidP="0039061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390616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enseñanza 1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390616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engua</w:t>
            </w:r>
            <w:proofErr w:type="spellEnd"/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enseñanza</w:t>
            </w:r>
            <w:proofErr w:type="spellEnd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71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9"/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Pr="00725600">
          <w:rPr>
            <w:rStyle w:val="Hyperlink1"/>
            <w:lang w:val="es-ES"/>
          </w:rPr>
          <w:t>http://eacea.ec.europa.eu/funding/2014/call_he_charter_en.php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B44D34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R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r, recibir e integrar a 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acogida</w:t>
            </w:r>
            <w:proofErr w:type="spellEnd"/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Código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Adaptar en caso de que sea un sistema </w:t>
      </w:r>
      <w:r w:rsidR="00B44D34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trimestral 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diferente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de evaluación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10"/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la interpretación correcta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 obtenidas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por  los estudiantes 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y la transferencia de créditos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  <w:proofErr w:type="spellEnd"/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  <w:proofErr w:type="spellEnd"/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correo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B44D34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/>
        </w:rPr>
        <w:t xml:space="preserve">H. </w:t>
      </w:r>
      <w:r w:rsidR="00307AB9"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Firma</w:t>
            </w:r>
            <w:r w:rsidR="00B44D34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11"/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E453BB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  <w:lang w:val="es-ES"/>
        </w:rPr>
      </w:pPr>
    </w:p>
    <w:p w:rsidR="00086698" w:rsidRPr="00E453BB" w:rsidRDefault="00086698">
      <w:pPr>
        <w:pStyle w:val="Prrafodelista"/>
        <w:widowControl w:val="0"/>
        <w:spacing w:before="120"/>
        <w:ind w:left="0"/>
        <w:jc w:val="both"/>
        <w:rPr>
          <w:lang w:val="es-ES"/>
        </w:rPr>
      </w:pPr>
    </w:p>
    <w:sectPr w:rsidR="00086698" w:rsidRPr="00E453BB" w:rsidSect="00283688">
      <w:headerReference w:type="default" r:id="rId10"/>
      <w:footerReference w:type="default" r:id="rId11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85" w:rsidRDefault="007B1D85">
      <w:pPr>
        <w:spacing w:after="0"/>
      </w:pPr>
      <w:r>
        <w:separator/>
      </w:r>
    </w:p>
  </w:endnote>
  <w:endnote w:type="continuationSeparator" w:id="0">
    <w:p w:rsidR="007B1D85" w:rsidRDefault="007B1D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453BB" w:rsidRPr="00E453BB">
      <w:rPr>
        <w:noProof/>
        <w:lang w:val="es-ES"/>
      </w:rPr>
      <w:t>1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85" w:rsidRDefault="007B1D85">
      <w:r>
        <w:separator/>
      </w:r>
    </w:p>
  </w:footnote>
  <w:footnote w:type="continuationSeparator" w:id="0">
    <w:p w:rsidR="007B1D85" w:rsidRDefault="007B1D85">
      <w:r>
        <w:continuationSeparator/>
      </w:r>
    </w:p>
  </w:footnote>
  <w:footnote w:type="continuationNotice" w:id="1">
    <w:p w:rsidR="007B1D85" w:rsidRDefault="007B1D85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970A46" w:rsidRPr="00970A46" w:rsidRDefault="00970A46" w:rsidP="00E453BB">
      <w:pPr>
        <w:pStyle w:val="Textonotapie"/>
        <w:spacing w:after="0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83688">
        <w:rPr>
          <w:rFonts w:ascii="Verdana" w:hAnsi="Verdana"/>
          <w:sz w:val="16"/>
          <w:szCs w:val="16"/>
          <w:lang w:val="es-ES"/>
        </w:rPr>
        <w:t>Los países del programa Erasmus+ son los 28 Estados miembros de la UE</w:t>
      </w:r>
      <w:r>
        <w:rPr>
          <w:rFonts w:ascii="Verdana" w:hAnsi="Verdana"/>
          <w:sz w:val="16"/>
          <w:szCs w:val="16"/>
          <w:lang w:val="es-ES"/>
        </w:rPr>
        <w:t xml:space="preserve">, los países de la AELC y otros </w:t>
      </w:r>
      <w:r w:rsidRPr="00283688">
        <w:rPr>
          <w:rFonts w:ascii="Verdana" w:hAnsi="Verdana"/>
          <w:sz w:val="16"/>
          <w:szCs w:val="16"/>
          <w:lang w:val="es-ES"/>
        </w:rPr>
        <w:t>países europeos tal y como se definen en la Convocatoria de propuestas</w:t>
      </w:r>
      <w:r>
        <w:rPr>
          <w:rFonts w:ascii="Verdana" w:hAnsi="Verdana"/>
          <w:sz w:val="16"/>
          <w:szCs w:val="16"/>
          <w:lang w:val="es-ES"/>
        </w:rPr>
        <w:t>.</w:t>
      </w:r>
      <w:r w:rsidR="00390616">
        <w:rPr>
          <w:rFonts w:ascii="Verdana" w:hAnsi="Verdana"/>
          <w:sz w:val="16"/>
          <w:szCs w:val="16"/>
          <w:lang w:val="es-ES"/>
        </w:rPr>
        <w:t xml:space="preserve"> Los países asociados elegibles se indican en la Guía del programa.</w:t>
      </w:r>
    </w:p>
  </w:footnote>
  <w:footnote w:id="5">
    <w:p w:rsidR="00086698" w:rsidRPr="00725600" w:rsidRDefault="00627ED5" w:rsidP="00970A46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6">
    <w:p w:rsidR="00970A46" w:rsidRPr="00725600" w:rsidRDefault="00970A46" w:rsidP="00E453BB">
      <w:pPr>
        <w:pStyle w:val="Textonotapie"/>
        <w:spacing w:after="0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Las instituciones de educación superior de los países del programa indicarán su código Erasmus mientras que las de los países asociados indicarán la localidad en la que están ubicadas.</w:t>
      </w:r>
    </w:p>
  </w:footnote>
  <w:footnote w:id="7">
    <w:p w:rsidR="00970A46" w:rsidRPr="00E453BB" w:rsidRDefault="00970A46">
      <w:pPr>
        <w:pStyle w:val="Textonotapie"/>
        <w:rPr>
          <w:rFonts w:ascii="Verdana" w:hAnsi="Verdana"/>
          <w:sz w:val="16"/>
          <w:szCs w:val="16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Los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datos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contacto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miembro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personal</w:t>
      </w:r>
      <w:proofErr w:type="spellEnd"/>
      <w:r>
        <w:rPr>
          <w:rFonts w:ascii="Verdana" w:hAnsi="Verdana"/>
          <w:sz w:val="16"/>
          <w:szCs w:val="16"/>
        </w:rPr>
        <w:t xml:space="preserve"> responsable del </w:t>
      </w:r>
      <w:proofErr w:type="spellStart"/>
      <w:r>
        <w:rPr>
          <w:rFonts w:ascii="Verdana" w:hAnsi="Verdana"/>
          <w:sz w:val="16"/>
          <w:szCs w:val="16"/>
        </w:rPr>
        <w:t>acuerdo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</w:footnote>
  <w:footnote w:id="8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9">
    <w:p w:rsidR="00DF2C35" w:rsidRPr="00B44D34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390616" w:rsidRPr="00B44D34">
        <w:rPr>
          <w:rFonts w:ascii="Verdana" w:hAnsi="Verdana"/>
          <w:sz w:val="16"/>
          <w:szCs w:val="16"/>
          <w:lang w:val="es-ES"/>
        </w:rPr>
        <w:t xml:space="preserve">Para que exista una comprensión fácil y consistente de los requisitos lingüísticos, </w:t>
      </w:r>
      <w:r w:rsidR="00B44D34" w:rsidRPr="00B44D34">
        <w:rPr>
          <w:rFonts w:ascii="Verdana" w:hAnsi="Verdana"/>
          <w:sz w:val="16"/>
          <w:szCs w:val="16"/>
          <w:lang w:val="es-ES"/>
        </w:rPr>
        <w:t>se recomienda el uso</w:t>
      </w:r>
      <w:r w:rsidR="00B20DA4" w:rsidRPr="00B44D34">
        <w:rPr>
          <w:rFonts w:ascii="Verdana" w:hAnsi="Verdana"/>
          <w:sz w:val="16"/>
          <w:szCs w:val="16"/>
          <w:lang w:val="es-ES"/>
        </w:rPr>
        <w:t xml:space="preserve"> </w:t>
      </w:r>
      <w:r w:rsidR="00B44D34" w:rsidRPr="00B44D34">
        <w:rPr>
          <w:rFonts w:ascii="Verdana" w:hAnsi="Verdana"/>
          <w:sz w:val="16"/>
          <w:szCs w:val="16"/>
          <w:lang w:val="es-ES"/>
        </w:rPr>
        <w:t>d</w:t>
      </w:r>
      <w:r w:rsidR="00B20DA4" w:rsidRPr="00B44D34">
        <w:rPr>
          <w:rFonts w:ascii="Verdana" w:hAnsi="Verdana"/>
          <w:sz w:val="16"/>
          <w:szCs w:val="16"/>
          <w:lang w:val="es-ES"/>
        </w:rPr>
        <w:t>el Marco Común Europeo de Referencia para las Lenguas</w:t>
      </w:r>
      <w:r w:rsidR="00B44D34" w:rsidRPr="00B44D34">
        <w:rPr>
          <w:rFonts w:ascii="Verdana" w:hAnsi="Verdana"/>
          <w:sz w:val="16"/>
          <w:szCs w:val="16"/>
          <w:lang w:val="es-ES"/>
        </w:rPr>
        <w:t xml:space="preserve">, disponible en </w:t>
      </w:r>
      <w:hyperlink r:id="rId2" w:history="1">
        <w:r w:rsidR="00B44D34" w:rsidRPr="00E453BB">
          <w:rPr>
            <w:rStyle w:val="Hipervnculo"/>
            <w:rFonts w:ascii="Verdana" w:hAnsi="Verdana"/>
            <w:sz w:val="16"/>
            <w:szCs w:val="16"/>
            <w:lang w:val="es-ES"/>
          </w:rPr>
          <w:t>http://europass.cedefop.europa.eu/en/resources/european-language-levels-cefr</w:t>
        </w:r>
      </w:hyperlink>
      <w:r w:rsidR="00CC73BA" w:rsidRPr="00B44D34">
        <w:rPr>
          <w:rFonts w:ascii="Verdana" w:hAnsi="Verdana"/>
          <w:sz w:val="16"/>
          <w:szCs w:val="16"/>
          <w:lang w:val="es-ES"/>
        </w:rPr>
        <w:t>.</w:t>
      </w:r>
    </w:p>
  </w:footnote>
  <w:footnote w:id="10">
    <w:p w:rsidR="00086698" w:rsidRPr="00725600" w:rsidRDefault="00627ED5" w:rsidP="00725600">
      <w:pPr>
        <w:pStyle w:val="Textonotapie"/>
        <w:ind w:left="0" w:firstLine="0"/>
        <w:rPr>
          <w:lang w:val="es-ES"/>
        </w:rPr>
      </w:pPr>
      <w:r>
        <w:rPr>
          <w:rFonts w:ascii="Verdana" w:eastAsia="Verdana" w:hAnsi="Verdana" w:cs="Verdana"/>
          <w:i/>
          <w:iCs/>
          <w:vertAlign w:val="superscript"/>
          <w:lang w:val="en-US"/>
        </w:rPr>
        <w:footnoteRef/>
      </w:r>
      <w:r w:rsidR="00087F03">
        <w:rPr>
          <w:lang w:val="es-ES"/>
        </w:rPr>
        <w:t xml:space="preserve">Disponible en: </w:t>
      </w:r>
      <w:hyperlink r:id="rId3" w:history="1">
        <w:r w:rsidR="00B44D34" w:rsidRPr="00F84E0C">
          <w:rPr>
            <w:rStyle w:val="Hipervnculo"/>
          </w:rPr>
          <w:t>http://ec.europa.eu/education/tools/docs/ects-guide_en.pdf</w:t>
        </w:r>
      </w:hyperlink>
      <w:r w:rsidR="00B44D34">
        <w:t xml:space="preserve">, </w:t>
      </w:r>
      <w:r w:rsidR="00804272" w:rsidRPr="00725600">
        <w:rPr>
          <w:rStyle w:val="Hyperlink2"/>
          <w:lang w:val="es-ES"/>
        </w:rPr>
        <w:t xml:space="preserve"> </w:t>
      </w:r>
      <w:r w:rsidR="00B44D34" w:rsidRPr="00B44D34">
        <w:rPr>
          <w:rStyle w:val="Hyperlink2"/>
          <w:lang w:val="es-ES"/>
        </w:rPr>
        <w:t>http://www.sepie.es/doc/comunicacion/publicaciones/guiaects2015.pdf</w:t>
      </w:r>
    </w:p>
  </w:footnote>
  <w:footnote w:id="11">
    <w:p w:rsidR="00B44D34" w:rsidRPr="00E453BB" w:rsidRDefault="00B44D34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</w:t>
      </w:r>
      <w:r w:rsidR="00E85BDA" w:rsidRPr="00E453BB">
        <w:rPr>
          <w:rFonts w:ascii="Verdana" w:hAnsi="Verdana"/>
          <w:sz w:val="16"/>
          <w:szCs w:val="16"/>
          <w:lang w:val="es-ES_tradnl"/>
        </w:rPr>
        <w:t>Dependiendo de la legislación nacional, se podrán admitir copias escaneadas de las firmas, así como firmas electrónicas.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6" w:rsidRPr="00ED282F" w:rsidRDefault="00970A46" w:rsidP="00970A46">
    <w:pPr>
      <w:pStyle w:val="ZCom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37B736" wp14:editId="2A7C4E7D">
          <wp:simplePos x="0" y="0"/>
          <wp:positionH relativeFrom="column">
            <wp:posOffset>-317500</wp:posOffset>
          </wp:positionH>
          <wp:positionV relativeFrom="paragraph">
            <wp:posOffset>27940</wp:posOffset>
          </wp:positionV>
          <wp:extent cx="1784350" cy="3619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A46" w:rsidRDefault="00970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65920"/>
    <w:rsid w:val="0019505C"/>
    <w:rsid w:val="001955B1"/>
    <w:rsid w:val="001A1AA3"/>
    <w:rsid w:val="001B5C16"/>
    <w:rsid w:val="001D0DC5"/>
    <w:rsid w:val="00281397"/>
    <w:rsid w:val="00283688"/>
    <w:rsid w:val="002E45B4"/>
    <w:rsid w:val="002F26A6"/>
    <w:rsid w:val="002F5DF1"/>
    <w:rsid w:val="00307AB9"/>
    <w:rsid w:val="00312D48"/>
    <w:rsid w:val="00335ADB"/>
    <w:rsid w:val="00353CC0"/>
    <w:rsid w:val="003626F6"/>
    <w:rsid w:val="00365A1B"/>
    <w:rsid w:val="0037352D"/>
    <w:rsid w:val="00390616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1D85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70A46"/>
    <w:rsid w:val="00996E56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20DA4"/>
    <w:rsid w:val="00B31875"/>
    <w:rsid w:val="00B44D34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6FAC"/>
    <w:rsid w:val="00D66EEF"/>
    <w:rsid w:val="00DA0A74"/>
    <w:rsid w:val="00DE0B24"/>
    <w:rsid w:val="00DF2C35"/>
    <w:rsid w:val="00E047C8"/>
    <w:rsid w:val="00E30E25"/>
    <w:rsid w:val="00E34409"/>
    <w:rsid w:val="00E453BB"/>
    <w:rsid w:val="00E6354C"/>
    <w:rsid w:val="00E63B8A"/>
    <w:rsid w:val="00E82E31"/>
    <w:rsid w:val="00E85BDA"/>
    <w:rsid w:val="00E976AD"/>
    <w:rsid w:val="00EF4095"/>
    <w:rsid w:val="00F0560C"/>
    <w:rsid w:val="00F067A5"/>
    <w:rsid w:val="00F3279C"/>
    <w:rsid w:val="00F630EB"/>
    <w:rsid w:val="00F66A4F"/>
    <w:rsid w:val="00F8470F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cea.ec.europa.eu/funding/2014/call_he_charter_en.ph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591E-7A48-4B06-BE3B-1A333830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10339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12194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Asenjo Orive Rosa</cp:lastModifiedBy>
  <cp:revision>3</cp:revision>
  <cp:lastPrinted>2015-07-24T10:25:00Z</cp:lastPrinted>
  <dcterms:created xsi:type="dcterms:W3CDTF">2016-06-27T12:35:00Z</dcterms:created>
  <dcterms:modified xsi:type="dcterms:W3CDTF">2016-06-29T09:58:00Z</dcterms:modified>
</cp:coreProperties>
</file>